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F1" w:rsidRDefault="002146F1" w:rsidP="003973C6">
      <w:pPr>
        <w:jc w:val="center"/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</w:pPr>
    </w:p>
    <w:p w:rsidR="00B57FD9" w:rsidRDefault="008E273E" w:rsidP="002146F1">
      <w:pPr>
        <w:jc w:val="center"/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</w:pPr>
      <w:r w:rsidRPr="008E273E">
        <w:rPr>
          <w:rFonts w:ascii="Arial" w:hAnsi="Arial" w:cs="Arial"/>
          <w:b/>
          <w:bCs/>
          <w:noProof/>
          <w:color w:val="943634" w:themeColor="accent2" w:themeShade="BF"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9pt;margin-top:-27.1pt;width:434.4pt;height:81.45pt;z-index:251659264;visibility:visible;mso-height-relative:margin" fillcolor="#d8d8d8 [2732]" strokecolor="#7f7f7f [1612]">
            <v:textbox>
              <w:txbxContent>
                <w:p w:rsidR="002146F1" w:rsidRDefault="002146F1"/>
                <w:p w:rsidR="002146F1" w:rsidRDefault="002146F1" w:rsidP="002146F1">
                  <w:pPr>
                    <w:jc w:val="center"/>
                    <w:rPr>
                      <w:rFonts w:ascii="Arial" w:hAnsi="Arial" w:cs="Arial"/>
                      <w:b/>
                      <w:bCs/>
                      <w:color w:val="943634" w:themeColor="accent2" w:themeShade="BF"/>
                      <w:sz w:val="22"/>
                      <w:szCs w:val="22"/>
                    </w:rPr>
                  </w:pPr>
                </w:p>
                <w:p w:rsidR="002146F1" w:rsidRDefault="002146F1" w:rsidP="002146F1">
                  <w:pPr>
                    <w:jc w:val="center"/>
                    <w:rPr>
                      <w:rFonts w:ascii="Arial" w:hAnsi="Arial" w:cs="Arial"/>
                      <w:b/>
                      <w:bCs/>
                      <w:color w:val="943634" w:themeColor="accent2" w:themeShade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43634" w:themeColor="accent2" w:themeShade="BF"/>
                      <w:sz w:val="22"/>
                      <w:szCs w:val="22"/>
                    </w:rPr>
                    <w:t>2015-2017</w:t>
                  </w:r>
                  <w:r w:rsidRPr="003973C6">
                    <w:rPr>
                      <w:rFonts w:ascii="Arial" w:hAnsi="Arial" w:cs="Arial"/>
                      <w:b/>
                      <w:bCs/>
                      <w:color w:val="943634" w:themeColor="accent2" w:themeShade="BF"/>
                      <w:sz w:val="22"/>
                      <w:szCs w:val="22"/>
                    </w:rPr>
                    <w:t xml:space="preserve"> GENÇLİK ARAŞTIRMALARI FONU </w:t>
                  </w:r>
                </w:p>
                <w:p w:rsidR="002146F1" w:rsidRDefault="002146F1" w:rsidP="002146F1">
                  <w:pPr>
                    <w:jc w:val="center"/>
                    <w:rPr>
                      <w:rFonts w:ascii="Arial" w:hAnsi="Arial" w:cs="Arial"/>
                      <w:b/>
                      <w:bCs/>
                      <w:color w:val="943634" w:themeColor="accent2" w:themeShade="BF"/>
                      <w:sz w:val="22"/>
                      <w:szCs w:val="22"/>
                    </w:rPr>
                  </w:pPr>
                </w:p>
                <w:p w:rsidR="002146F1" w:rsidRDefault="002146F1" w:rsidP="002146F1">
                  <w:pPr>
                    <w:jc w:val="center"/>
                    <w:rPr>
                      <w:rFonts w:ascii="Arial" w:hAnsi="Arial" w:cs="Arial"/>
                      <w:b/>
                      <w:bCs/>
                      <w:color w:val="943634" w:themeColor="accent2" w:themeShade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43634" w:themeColor="accent2" w:themeShade="BF"/>
                      <w:sz w:val="22"/>
                      <w:szCs w:val="22"/>
                    </w:rPr>
                    <w:t>BAŞVURU REHBERİ</w:t>
                  </w:r>
                </w:p>
                <w:p w:rsidR="002146F1" w:rsidRPr="002146F1" w:rsidRDefault="002146F1" w:rsidP="002146F1">
                  <w:pPr>
                    <w:rPr>
                      <w:color w:val="BFBFBF" w:themeColor="background1" w:themeShade="BF"/>
                    </w:rPr>
                  </w:pPr>
                </w:p>
              </w:txbxContent>
            </v:textbox>
            <w10:wrap type="square"/>
          </v:shape>
        </w:pict>
      </w:r>
    </w:p>
    <w:p w:rsidR="003973C6" w:rsidRPr="003973C6" w:rsidRDefault="003973C6" w:rsidP="003973C6">
      <w:pPr>
        <w:rPr>
          <w:rFonts w:ascii="Times" w:eastAsia="Times New Roman" w:hAnsi="Times" w:cs="Times New Roman"/>
          <w:sz w:val="20"/>
          <w:szCs w:val="20"/>
        </w:rPr>
      </w:pPr>
    </w:p>
    <w:p w:rsidR="003973C6" w:rsidRDefault="003973C6" w:rsidP="00E25067">
      <w:pPr>
        <w:jc w:val="both"/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</w:pPr>
      <w:r w:rsidRPr="003973C6"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  <w:t>Genel Çerçeve</w:t>
      </w:r>
    </w:p>
    <w:p w:rsidR="003973C6" w:rsidRPr="003973C6" w:rsidRDefault="003973C6" w:rsidP="00E25067">
      <w:pPr>
        <w:jc w:val="both"/>
        <w:rPr>
          <w:rFonts w:ascii="Times" w:hAnsi="Times" w:cs="Times New Roman"/>
          <w:color w:val="943634" w:themeColor="accent2" w:themeShade="BF"/>
          <w:sz w:val="20"/>
          <w:szCs w:val="20"/>
        </w:rPr>
      </w:pPr>
    </w:p>
    <w:p w:rsidR="003973C6" w:rsidRPr="005314D6" w:rsidRDefault="003973C6" w:rsidP="00E25067">
      <w:pPr>
        <w:jc w:val="both"/>
        <w:rPr>
          <w:rFonts w:ascii="Times" w:hAnsi="Times" w:cs="Times New Roman"/>
          <w:sz w:val="20"/>
          <w:szCs w:val="20"/>
        </w:rPr>
      </w:pPr>
      <w:r w:rsidRPr="003973C6">
        <w:rPr>
          <w:rFonts w:ascii="Arial" w:hAnsi="Arial" w:cs="Arial"/>
          <w:color w:val="000000"/>
          <w:sz w:val="22"/>
          <w:szCs w:val="22"/>
        </w:rPr>
        <w:t>Gençlik Araştırmaları Fonu, Ağustos 2015’te İsta</w:t>
      </w:r>
      <w:r w:rsidR="00E25067">
        <w:rPr>
          <w:rFonts w:ascii="Arial" w:hAnsi="Arial" w:cs="Arial"/>
          <w:color w:val="000000"/>
          <w:sz w:val="22"/>
          <w:szCs w:val="22"/>
        </w:rPr>
        <w:t xml:space="preserve">nbul Bilgi Üniversitesi Gençlik </w:t>
      </w:r>
      <w:r w:rsidRPr="003973C6">
        <w:rPr>
          <w:rFonts w:ascii="Arial" w:hAnsi="Arial" w:cs="Arial"/>
          <w:color w:val="000000"/>
          <w:sz w:val="22"/>
          <w:szCs w:val="22"/>
        </w:rPr>
        <w:t>Çalışmaları Birimi ve Toplum Gönüllüleri Vakfı’nın imzaladığı işbirliği protokolü kapsamında kuruldu ve yürütülüyor.</w:t>
      </w:r>
    </w:p>
    <w:p w:rsidR="003973C6" w:rsidRDefault="003973C6" w:rsidP="00E2506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73C6" w:rsidRDefault="003973C6" w:rsidP="00E2506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973C6">
        <w:rPr>
          <w:rFonts w:ascii="Arial" w:hAnsi="Arial" w:cs="Arial"/>
          <w:color w:val="000000"/>
          <w:sz w:val="22"/>
          <w:szCs w:val="22"/>
        </w:rPr>
        <w:t>Bu araştırma fonunun amacı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3973C6" w:rsidRPr="003973C6" w:rsidRDefault="003973C6" w:rsidP="00E25067">
      <w:pPr>
        <w:jc w:val="both"/>
        <w:rPr>
          <w:rFonts w:ascii="Times" w:hAnsi="Times" w:cs="Times New Roman"/>
          <w:sz w:val="20"/>
          <w:szCs w:val="20"/>
        </w:rPr>
      </w:pPr>
    </w:p>
    <w:p w:rsidR="003973C6" w:rsidRPr="003973C6" w:rsidRDefault="003973C6" w:rsidP="00E25067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973C6">
        <w:rPr>
          <w:rFonts w:ascii="Arial" w:hAnsi="Arial" w:cs="Arial"/>
          <w:color w:val="000000"/>
          <w:sz w:val="22"/>
          <w:szCs w:val="22"/>
        </w:rPr>
        <w:t xml:space="preserve">Türkiye’de gençlik alanında akademik bilgi ve yayın üretimini teşvik etmek; </w:t>
      </w:r>
    </w:p>
    <w:p w:rsidR="003973C6" w:rsidRPr="003973C6" w:rsidRDefault="003973C6" w:rsidP="00E25067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973C6">
        <w:rPr>
          <w:rFonts w:ascii="Arial" w:hAnsi="Arial" w:cs="Arial"/>
          <w:color w:val="000000"/>
          <w:sz w:val="22"/>
          <w:szCs w:val="22"/>
        </w:rPr>
        <w:t>Farklı gençlik gruplarının deneyimlerine, ihtiyaçlarına, sorunlarına, haklarına ilişkin akademik çalışmaları desteklemek;</w:t>
      </w:r>
    </w:p>
    <w:p w:rsidR="003973C6" w:rsidRPr="003973C6" w:rsidRDefault="003973C6" w:rsidP="00E25067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973C6">
        <w:rPr>
          <w:rFonts w:ascii="Arial" w:hAnsi="Arial" w:cs="Arial"/>
          <w:color w:val="000000"/>
          <w:sz w:val="22"/>
          <w:szCs w:val="22"/>
        </w:rPr>
        <w:t xml:space="preserve">Gençlik araştırmalarının desteklenmesi yoluyla Türkiye’de demokratik </w:t>
      </w:r>
      <w:r w:rsidR="0058087B">
        <w:rPr>
          <w:rFonts w:ascii="Arial" w:hAnsi="Arial" w:cs="Arial"/>
          <w:color w:val="000000"/>
          <w:sz w:val="22"/>
          <w:szCs w:val="22"/>
        </w:rPr>
        <w:t>ve hak temelli</w:t>
      </w:r>
      <w:r w:rsidR="00605E64">
        <w:rPr>
          <w:rFonts w:ascii="Arial" w:hAnsi="Arial" w:cs="Arial"/>
          <w:color w:val="000000"/>
          <w:sz w:val="22"/>
          <w:szCs w:val="22"/>
        </w:rPr>
        <w:t xml:space="preserve"> </w:t>
      </w:r>
      <w:r w:rsidR="0058087B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73C6">
        <w:rPr>
          <w:rFonts w:ascii="Arial" w:hAnsi="Arial" w:cs="Arial"/>
          <w:color w:val="000000"/>
          <w:sz w:val="22"/>
          <w:szCs w:val="22"/>
        </w:rPr>
        <w:t>gençlik politikalarının gelişimine bilgi ve kanıt temelli katkıda bulunmaktır.</w:t>
      </w:r>
    </w:p>
    <w:p w:rsidR="003973C6" w:rsidRPr="003973C6" w:rsidRDefault="003973C6" w:rsidP="00E25067">
      <w:pPr>
        <w:spacing w:after="240"/>
        <w:jc w:val="both"/>
        <w:rPr>
          <w:rFonts w:ascii="Times" w:eastAsia="Times New Roman" w:hAnsi="Times" w:cs="Times New Roman"/>
          <w:sz w:val="20"/>
          <w:szCs w:val="20"/>
        </w:rPr>
      </w:pPr>
    </w:p>
    <w:p w:rsidR="002F0F67" w:rsidRDefault="00533F65" w:rsidP="00E25067">
      <w:pPr>
        <w:spacing w:after="160"/>
        <w:jc w:val="both"/>
        <w:rPr>
          <w:rFonts w:ascii="Arial" w:hAnsi="Arial" w:cs="Arial"/>
          <w:b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b/>
          <w:color w:val="943634" w:themeColor="accent2" w:themeShade="BF"/>
          <w:sz w:val="22"/>
          <w:szCs w:val="22"/>
        </w:rPr>
        <w:t>Hibe Koşulları</w:t>
      </w:r>
    </w:p>
    <w:p w:rsidR="00925D78" w:rsidRPr="000F709B" w:rsidRDefault="002F0F67" w:rsidP="000F709B">
      <w:pPr>
        <w:pStyle w:val="ListeParagraf"/>
        <w:numPr>
          <w:ilvl w:val="0"/>
          <w:numId w:val="9"/>
        </w:numPr>
        <w:spacing w:after="160"/>
        <w:jc w:val="both"/>
        <w:rPr>
          <w:rFonts w:ascii="Arial" w:hAnsi="Arial" w:cs="Arial"/>
          <w:b/>
          <w:color w:val="943634" w:themeColor="accent2" w:themeShade="BF"/>
          <w:sz w:val="22"/>
          <w:szCs w:val="22"/>
        </w:rPr>
      </w:pPr>
      <w:r w:rsidRPr="002F0F67">
        <w:rPr>
          <w:rFonts w:ascii="Arial" w:hAnsi="Arial" w:cs="Arial"/>
          <w:color w:val="000000"/>
          <w:sz w:val="22"/>
          <w:szCs w:val="22"/>
        </w:rPr>
        <w:t>Gençlik Araştırmaları Fonu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F0F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2F0F67">
        <w:rPr>
          <w:rFonts w:ascii="Arial" w:hAnsi="Arial" w:cs="Arial"/>
          <w:sz w:val="22"/>
          <w:szCs w:val="22"/>
        </w:rPr>
        <w:t>2015-2016 öncelikleri kapsamında</w:t>
      </w:r>
      <w:r>
        <w:rPr>
          <w:rFonts w:ascii="Arial" w:hAnsi="Arial" w:cs="Arial"/>
          <w:sz w:val="22"/>
          <w:szCs w:val="22"/>
        </w:rPr>
        <w:t>,</w:t>
      </w:r>
      <w:r w:rsidRPr="002F0F67">
        <w:rPr>
          <w:rFonts w:ascii="Arial" w:hAnsi="Arial" w:cs="Arial"/>
          <w:sz w:val="22"/>
          <w:szCs w:val="22"/>
        </w:rPr>
        <w:t xml:space="preserve"> </w:t>
      </w:r>
      <w:r w:rsidRPr="000F709B">
        <w:rPr>
          <w:rFonts w:ascii="Arial" w:hAnsi="Arial" w:cs="Arial"/>
          <w:color w:val="000000"/>
          <w:sz w:val="22"/>
          <w:szCs w:val="22"/>
        </w:rPr>
        <w:t xml:space="preserve">Türkiye’deki </w:t>
      </w:r>
      <w:r w:rsidRPr="000F709B">
        <w:rPr>
          <w:rFonts w:ascii="Arial" w:hAnsi="Arial" w:cs="Arial"/>
          <w:i/>
          <w:color w:val="000000"/>
          <w:sz w:val="22"/>
          <w:szCs w:val="22"/>
        </w:rPr>
        <w:t>gençlerin sosyal hakları, ifade ve örgütlenme özgürlü</w:t>
      </w:r>
      <w:r w:rsidR="0058087B" w:rsidRPr="000F709B">
        <w:rPr>
          <w:rFonts w:ascii="Arial" w:hAnsi="Arial" w:cs="Arial"/>
          <w:i/>
          <w:color w:val="000000"/>
          <w:sz w:val="22"/>
          <w:szCs w:val="22"/>
        </w:rPr>
        <w:t>kleri</w:t>
      </w:r>
      <w:r w:rsidRPr="000F709B">
        <w:rPr>
          <w:rFonts w:ascii="Arial" w:hAnsi="Arial" w:cs="Arial"/>
          <w:i/>
          <w:color w:val="000000"/>
          <w:sz w:val="22"/>
          <w:szCs w:val="22"/>
        </w:rPr>
        <w:t xml:space="preserve"> ve gençlerle ilgili toplumsal cinsiyet</w:t>
      </w:r>
      <w:r w:rsidRPr="000F70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0F709B">
        <w:rPr>
          <w:rFonts w:ascii="Arial" w:hAnsi="Arial" w:cs="Arial"/>
          <w:i/>
          <w:color w:val="000000"/>
          <w:sz w:val="22"/>
          <w:szCs w:val="22"/>
        </w:rPr>
        <w:t>konularını</w:t>
      </w:r>
      <w:r w:rsidRPr="000F709B">
        <w:rPr>
          <w:rFonts w:ascii="Arial" w:hAnsi="Arial" w:cs="Arial"/>
          <w:color w:val="000000"/>
          <w:sz w:val="22"/>
          <w:szCs w:val="22"/>
        </w:rPr>
        <w:t xml:space="preserve"> ele alan araştırmaları destekler. </w:t>
      </w:r>
    </w:p>
    <w:p w:rsidR="002F0F67" w:rsidRPr="00925D78" w:rsidRDefault="002F0F67" w:rsidP="00E25067">
      <w:pPr>
        <w:pStyle w:val="ListeParagraf"/>
        <w:numPr>
          <w:ilvl w:val="0"/>
          <w:numId w:val="9"/>
        </w:numPr>
        <w:spacing w:after="160"/>
        <w:jc w:val="both"/>
        <w:rPr>
          <w:rFonts w:ascii="Arial" w:hAnsi="Arial" w:cs="Arial"/>
          <w:b/>
          <w:color w:val="943634" w:themeColor="accent2" w:themeShade="BF"/>
          <w:sz w:val="22"/>
          <w:szCs w:val="22"/>
        </w:rPr>
      </w:pPr>
      <w:r w:rsidRPr="00925D78">
        <w:rPr>
          <w:rFonts w:ascii="Arial" w:hAnsi="Arial" w:cs="Arial"/>
          <w:color w:val="000000"/>
          <w:sz w:val="22"/>
          <w:szCs w:val="22"/>
        </w:rPr>
        <w:t xml:space="preserve">Araştırmacılar araştırmayı akademik etik kurallar çerçevesinde yürütmekle sorumludur. </w:t>
      </w:r>
      <w:r w:rsidR="00925D78" w:rsidRPr="00925D78">
        <w:rPr>
          <w:rFonts w:ascii="Arial" w:hAnsi="Arial" w:cs="Arial"/>
          <w:color w:val="000000"/>
          <w:sz w:val="22"/>
          <w:szCs w:val="22"/>
        </w:rPr>
        <w:t>Temel nesnesi insan olan araştırmalar etik değerlendirmeye tabi tutulacak; sosyal ve davranışsal bilim toplulukları tarafından ortaya konmuş olan etik standartları ve kurallarına uygunluğu açısından da değerlendirilecektir.</w:t>
      </w:r>
    </w:p>
    <w:p w:rsidR="005314D6" w:rsidRPr="002F0F67" w:rsidRDefault="005314D6" w:rsidP="00E25067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314D6">
        <w:rPr>
          <w:rFonts w:ascii="Arial" w:hAnsi="Arial" w:cs="Arial"/>
          <w:color w:val="000000"/>
          <w:sz w:val="22"/>
          <w:szCs w:val="22"/>
        </w:rPr>
        <w:t>Araştırmanı</w:t>
      </w:r>
      <w:r>
        <w:rPr>
          <w:rFonts w:ascii="Arial" w:hAnsi="Arial" w:cs="Arial"/>
          <w:color w:val="000000"/>
          <w:sz w:val="22"/>
          <w:szCs w:val="22"/>
        </w:rPr>
        <w:t>n metodolojisi</w:t>
      </w:r>
      <w:r w:rsidRPr="005314D6">
        <w:rPr>
          <w:rFonts w:ascii="Arial" w:hAnsi="Arial" w:cs="Arial"/>
          <w:color w:val="000000"/>
          <w:sz w:val="22"/>
          <w:szCs w:val="22"/>
        </w:rPr>
        <w:t xml:space="preserve"> toplumsal cinsiyet eşitliği</w:t>
      </w:r>
      <w:r w:rsidR="0058087B">
        <w:rPr>
          <w:rFonts w:ascii="Arial" w:hAnsi="Arial" w:cs="Arial"/>
          <w:color w:val="000000"/>
          <w:sz w:val="22"/>
          <w:szCs w:val="22"/>
        </w:rPr>
        <w:t xml:space="preserve">ni </w:t>
      </w:r>
      <w:r w:rsidRPr="005314D6">
        <w:rPr>
          <w:rFonts w:ascii="Arial" w:hAnsi="Arial" w:cs="Arial"/>
          <w:color w:val="000000"/>
          <w:sz w:val="22"/>
          <w:szCs w:val="22"/>
        </w:rPr>
        <w:t>gözeten yöntem ve araçlara sahip olmalıdır.</w:t>
      </w:r>
    </w:p>
    <w:p w:rsidR="002F0F67" w:rsidRDefault="002F0F67" w:rsidP="00E25067">
      <w:pPr>
        <w:pStyle w:val="ListeParagraf"/>
        <w:numPr>
          <w:ilvl w:val="0"/>
          <w:numId w:val="9"/>
        </w:numPr>
        <w:spacing w:after="1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F0F67">
        <w:rPr>
          <w:rFonts w:ascii="Arial" w:hAnsi="Arial" w:cs="Arial"/>
          <w:color w:val="000000"/>
          <w:sz w:val="22"/>
          <w:szCs w:val="22"/>
        </w:rPr>
        <w:t xml:space="preserve">Araştırma başvurusu Türkçe veya İngilizce </w:t>
      </w:r>
      <w:r w:rsidR="0058087B">
        <w:rPr>
          <w:rFonts w:ascii="Arial" w:hAnsi="Arial" w:cs="Arial"/>
          <w:color w:val="000000"/>
          <w:sz w:val="22"/>
          <w:szCs w:val="22"/>
        </w:rPr>
        <w:t>yapılabilir</w:t>
      </w:r>
      <w:r w:rsidRPr="002F0F67">
        <w:rPr>
          <w:rFonts w:ascii="Arial" w:hAnsi="Arial" w:cs="Arial"/>
          <w:color w:val="000000"/>
          <w:sz w:val="22"/>
          <w:szCs w:val="22"/>
        </w:rPr>
        <w:t>.</w:t>
      </w:r>
    </w:p>
    <w:p w:rsidR="005314D6" w:rsidRPr="002F0F67" w:rsidRDefault="005314D6" w:rsidP="00E25067">
      <w:pPr>
        <w:pStyle w:val="ListeParagraf"/>
        <w:numPr>
          <w:ilvl w:val="0"/>
          <w:numId w:val="9"/>
        </w:numPr>
        <w:spacing w:after="1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Başvurucu bu Fon kapsamında desteklenen araştırmasıyla ilgili </w:t>
      </w:r>
      <w:r w:rsidR="00CE38E8">
        <w:rPr>
          <w:rFonts w:ascii="Arial" w:hAnsi="Arial" w:cs="Arial"/>
          <w:color w:val="000000"/>
          <w:sz w:val="22"/>
          <w:szCs w:val="22"/>
        </w:rPr>
        <w:t>Türkçe</w:t>
      </w:r>
      <w:r w:rsidR="0058087B">
        <w:rPr>
          <w:rFonts w:ascii="Arial" w:hAnsi="Arial" w:cs="Arial"/>
          <w:color w:val="000000"/>
          <w:sz w:val="22"/>
          <w:szCs w:val="22"/>
        </w:rPr>
        <w:t xml:space="preserve"> ve hakemli bir bilimsel dergide yayınlanabilecek nitelikte</w:t>
      </w:r>
      <w:r w:rsidR="00CE38E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bir makale yazmayı ve</w:t>
      </w:r>
      <w:r w:rsidR="0058087B">
        <w:rPr>
          <w:rFonts w:ascii="Arial" w:hAnsi="Arial" w:cs="Arial"/>
          <w:color w:val="000000"/>
          <w:sz w:val="22"/>
          <w:szCs w:val="22"/>
        </w:rPr>
        <w:t xml:space="preserve"> yalnızca bu makalenin</w:t>
      </w:r>
      <w:r>
        <w:rPr>
          <w:rFonts w:ascii="Arial" w:hAnsi="Arial" w:cs="Arial"/>
          <w:color w:val="000000"/>
          <w:sz w:val="22"/>
          <w:szCs w:val="22"/>
        </w:rPr>
        <w:t xml:space="preserve"> yayım hakkını Fon sağlayan kurumlara vermeyi taahhüt eder. </w:t>
      </w:r>
    </w:p>
    <w:p w:rsidR="00533F65" w:rsidRDefault="00533F65" w:rsidP="00E25067">
      <w:pPr>
        <w:spacing w:after="160"/>
        <w:jc w:val="both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:rsidR="003973C6" w:rsidRPr="00B57FD9" w:rsidRDefault="003973C6" w:rsidP="00E25067">
      <w:pPr>
        <w:spacing w:after="160"/>
        <w:jc w:val="both"/>
        <w:rPr>
          <w:rFonts w:ascii="Arial" w:hAnsi="Arial" w:cs="Arial"/>
          <w:b/>
          <w:color w:val="943634" w:themeColor="accent2" w:themeShade="BF"/>
          <w:sz w:val="22"/>
          <w:szCs w:val="22"/>
        </w:rPr>
      </w:pPr>
      <w:r w:rsidRPr="00B57FD9">
        <w:rPr>
          <w:rFonts w:ascii="Arial" w:hAnsi="Arial" w:cs="Arial"/>
          <w:b/>
          <w:color w:val="943634" w:themeColor="accent2" w:themeShade="BF"/>
          <w:sz w:val="22"/>
          <w:szCs w:val="22"/>
        </w:rPr>
        <w:t>Kimler</w:t>
      </w:r>
      <w:r w:rsidR="00B57FD9" w:rsidRPr="00B57FD9">
        <w:rPr>
          <w:rFonts w:ascii="Arial" w:hAnsi="Arial" w:cs="Arial"/>
          <w:b/>
          <w:color w:val="943634" w:themeColor="accent2" w:themeShade="BF"/>
          <w:sz w:val="22"/>
          <w:szCs w:val="22"/>
        </w:rPr>
        <w:t xml:space="preserve"> Başvurabilir</w:t>
      </w:r>
      <w:r w:rsidR="00F12E12">
        <w:rPr>
          <w:rFonts w:ascii="Arial" w:hAnsi="Arial" w:cs="Arial"/>
          <w:b/>
          <w:color w:val="943634" w:themeColor="accent2" w:themeShade="BF"/>
          <w:sz w:val="22"/>
          <w:szCs w:val="22"/>
        </w:rPr>
        <w:t>?</w:t>
      </w:r>
    </w:p>
    <w:p w:rsidR="003973C6" w:rsidRPr="003973C6" w:rsidRDefault="003973C6" w:rsidP="00E25067">
      <w:pPr>
        <w:spacing w:after="160"/>
        <w:jc w:val="both"/>
        <w:rPr>
          <w:rFonts w:ascii="Times" w:hAnsi="Times" w:cs="Times New Roman"/>
          <w:sz w:val="20"/>
          <w:szCs w:val="20"/>
        </w:rPr>
      </w:pPr>
      <w:r w:rsidRPr="003973C6">
        <w:rPr>
          <w:rFonts w:ascii="Arial" w:hAnsi="Arial" w:cs="Arial"/>
          <w:color w:val="000000"/>
          <w:sz w:val="22"/>
          <w:szCs w:val="22"/>
        </w:rPr>
        <w:t>Araştırma fonundan üniversitelerdeki akademik kadro çalışanları (</w:t>
      </w:r>
      <w:r w:rsidR="001E000A">
        <w:rPr>
          <w:rFonts w:ascii="Arial" w:hAnsi="Arial" w:cs="Arial"/>
          <w:color w:val="000000"/>
          <w:sz w:val="22"/>
          <w:szCs w:val="22"/>
        </w:rPr>
        <w:t>araştırma görevlisi</w:t>
      </w:r>
      <w:r w:rsidR="003B7FD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973C6">
        <w:rPr>
          <w:rFonts w:ascii="Arial" w:hAnsi="Arial" w:cs="Arial"/>
          <w:color w:val="000000"/>
          <w:sz w:val="22"/>
          <w:szCs w:val="22"/>
        </w:rPr>
        <w:t>öğretim görevlisi ya da üyesi) ile bir üniversited</w:t>
      </w:r>
      <w:r w:rsidR="00094FAE">
        <w:rPr>
          <w:rFonts w:ascii="Arial" w:hAnsi="Arial" w:cs="Arial"/>
          <w:color w:val="000000"/>
          <w:sz w:val="22"/>
          <w:szCs w:val="22"/>
        </w:rPr>
        <w:t>e öğrenimlerine yüksek lisans ya da</w:t>
      </w:r>
      <w:r w:rsidRPr="003973C6">
        <w:rPr>
          <w:rFonts w:ascii="Arial" w:hAnsi="Arial" w:cs="Arial"/>
          <w:color w:val="000000"/>
          <w:sz w:val="22"/>
          <w:szCs w:val="22"/>
        </w:rPr>
        <w:t xml:space="preserve"> doktora düzeyinde devam eden araştırmacılar yararlanabilir.</w:t>
      </w:r>
    </w:p>
    <w:p w:rsidR="003973C6" w:rsidRPr="003973C6" w:rsidRDefault="003973C6" w:rsidP="00E25067">
      <w:pPr>
        <w:spacing w:after="160"/>
        <w:jc w:val="both"/>
        <w:rPr>
          <w:rFonts w:ascii="Times" w:hAnsi="Times" w:cs="Times New Roman"/>
          <w:sz w:val="20"/>
          <w:szCs w:val="20"/>
        </w:rPr>
      </w:pPr>
      <w:r w:rsidRPr="003973C6">
        <w:rPr>
          <w:rFonts w:ascii="Arial" w:hAnsi="Arial" w:cs="Arial"/>
          <w:color w:val="000000"/>
          <w:sz w:val="22"/>
          <w:szCs w:val="22"/>
        </w:rPr>
        <w:t>Fondan yararlanmak isteyen araştırmalar</w:t>
      </w:r>
      <w:r w:rsidR="00094FAE">
        <w:rPr>
          <w:rFonts w:ascii="Arial" w:hAnsi="Arial" w:cs="Arial"/>
          <w:color w:val="000000"/>
          <w:sz w:val="22"/>
          <w:szCs w:val="22"/>
        </w:rPr>
        <w:t>ın bütçeleri</w:t>
      </w:r>
      <w:r w:rsidRPr="003973C6">
        <w:rPr>
          <w:rFonts w:ascii="Arial" w:hAnsi="Arial" w:cs="Arial"/>
          <w:color w:val="000000"/>
          <w:sz w:val="22"/>
          <w:szCs w:val="22"/>
        </w:rPr>
        <w:t xml:space="preserve"> için üst sınırlar aşağıdaki gibi belirlenmiştir:</w:t>
      </w:r>
    </w:p>
    <w:p w:rsidR="003973C6" w:rsidRPr="003973C6" w:rsidRDefault="003973C6" w:rsidP="00E25067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973C6">
        <w:rPr>
          <w:rFonts w:ascii="Arial" w:hAnsi="Arial" w:cs="Arial"/>
          <w:color w:val="000000"/>
          <w:sz w:val="22"/>
          <w:szCs w:val="22"/>
        </w:rPr>
        <w:t>Yüksek Lisans Tezi Desteği: (en fazla) 4.000 TL</w:t>
      </w:r>
      <w:r w:rsidR="00605E64">
        <w:rPr>
          <w:rFonts w:ascii="Arial" w:hAnsi="Arial" w:cs="Arial"/>
          <w:color w:val="000000"/>
          <w:sz w:val="22"/>
          <w:szCs w:val="22"/>
        </w:rPr>
        <w:t xml:space="preserve"> NET</w:t>
      </w:r>
    </w:p>
    <w:p w:rsidR="003973C6" w:rsidRPr="003973C6" w:rsidRDefault="003973C6" w:rsidP="00E25067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973C6">
        <w:rPr>
          <w:rFonts w:ascii="Arial" w:hAnsi="Arial" w:cs="Arial"/>
          <w:color w:val="000000"/>
          <w:sz w:val="22"/>
          <w:szCs w:val="22"/>
        </w:rPr>
        <w:t>Doktora Tezi Araştırması Desteği: (en fazla) 8.000 TL</w:t>
      </w:r>
      <w:r w:rsidR="00605E64">
        <w:rPr>
          <w:rFonts w:ascii="Arial" w:hAnsi="Arial" w:cs="Arial"/>
          <w:color w:val="000000"/>
          <w:sz w:val="22"/>
          <w:szCs w:val="22"/>
        </w:rPr>
        <w:t xml:space="preserve"> NET</w:t>
      </w:r>
    </w:p>
    <w:p w:rsidR="0058087B" w:rsidRDefault="003973C6" w:rsidP="00E25067">
      <w:pPr>
        <w:numPr>
          <w:ilvl w:val="0"/>
          <w:numId w:val="2"/>
        </w:numPr>
        <w:spacing w:after="1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973C6">
        <w:rPr>
          <w:rFonts w:ascii="Arial" w:hAnsi="Arial" w:cs="Arial"/>
          <w:color w:val="000000"/>
          <w:sz w:val="22"/>
          <w:szCs w:val="22"/>
        </w:rPr>
        <w:t>Doktora Sonrası Araştırması Desteği (en fazla) 1</w:t>
      </w:r>
      <w:r w:rsidR="00605E64">
        <w:rPr>
          <w:rFonts w:ascii="Arial" w:hAnsi="Arial" w:cs="Arial"/>
          <w:color w:val="000000"/>
          <w:sz w:val="22"/>
          <w:szCs w:val="22"/>
        </w:rPr>
        <w:t>0</w:t>
      </w:r>
      <w:r w:rsidRPr="003973C6">
        <w:rPr>
          <w:rFonts w:ascii="Arial" w:hAnsi="Arial" w:cs="Arial"/>
          <w:color w:val="000000"/>
          <w:sz w:val="22"/>
          <w:szCs w:val="22"/>
        </w:rPr>
        <w:t>.000 TL</w:t>
      </w:r>
      <w:r w:rsidR="00605E64">
        <w:rPr>
          <w:rFonts w:ascii="Arial" w:hAnsi="Arial" w:cs="Arial"/>
          <w:color w:val="000000"/>
          <w:sz w:val="22"/>
          <w:szCs w:val="22"/>
        </w:rPr>
        <w:t xml:space="preserve"> NET</w:t>
      </w:r>
    </w:p>
    <w:p w:rsidR="00F12E12" w:rsidRPr="00B57FD9" w:rsidRDefault="00F12E12" w:rsidP="00E25067">
      <w:pPr>
        <w:spacing w:after="160"/>
        <w:jc w:val="both"/>
        <w:rPr>
          <w:rFonts w:ascii="Arial" w:hAnsi="Arial" w:cs="Arial"/>
          <w:b/>
          <w:color w:val="943634" w:themeColor="accent2" w:themeShade="BF"/>
          <w:sz w:val="22"/>
          <w:szCs w:val="22"/>
        </w:rPr>
      </w:pPr>
      <w:r w:rsidRPr="00F12E12">
        <w:rPr>
          <w:rFonts w:ascii="Arial" w:hAnsi="Arial" w:cs="Arial"/>
          <w:b/>
          <w:color w:val="943634" w:themeColor="accent2" w:themeShade="BF"/>
          <w:sz w:val="22"/>
          <w:szCs w:val="22"/>
        </w:rPr>
        <w:lastRenderedPageBreak/>
        <w:t>Nasıl Başvurulur?</w:t>
      </w:r>
    </w:p>
    <w:p w:rsidR="00F12E12" w:rsidRPr="00F12E12" w:rsidRDefault="00F12E12" w:rsidP="00865F3F">
      <w:pPr>
        <w:rPr>
          <w:rFonts w:ascii="Arial" w:hAnsi="Arial" w:cs="Arial"/>
          <w:color w:val="000000"/>
          <w:sz w:val="22"/>
          <w:szCs w:val="22"/>
        </w:rPr>
      </w:pPr>
      <w:r w:rsidRPr="00F12E12">
        <w:rPr>
          <w:rFonts w:ascii="Arial" w:hAnsi="Arial" w:cs="Arial"/>
          <w:color w:val="000000"/>
          <w:sz w:val="22"/>
          <w:szCs w:val="22"/>
        </w:rPr>
        <w:t>Hibeden faydalanmak isteyen adayların</w:t>
      </w:r>
      <w:r w:rsidR="00865F3F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6" w:history="1">
        <w:r w:rsidR="00865F3F" w:rsidRPr="00A61351">
          <w:rPr>
            <w:rStyle w:val="Kpr"/>
            <w:rFonts w:ascii="Arial" w:hAnsi="Arial" w:cs="Arial"/>
            <w:sz w:val="22"/>
            <w:szCs w:val="22"/>
          </w:rPr>
          <w:t>http://www.jotformpro.com/TOG/genclikarastirmalarifonu</w:t>
        </w:r>
      </w:hyperlink>
      <w:bookmarkStart w:id="0" w:name="_GoBack"/>
      <w:bookmarkEnd w:id="0"/>
      <w:r w:rsidR="00865F3F">
        <w:rPr>
          <w:rFonts w:ascii="Arial" w:hAnsi="Arial" w:cs="Arial"/>
          <w:color w:val="000000"/>
          <w:sz w:val="22"/>
          <w:szCs w:val="22"/>
        </w:rPr>
        <w:t xml:space="preserve"> </w:t>
      </w:r>
      <w:r w:rsidR="00094FAE">
        <w:rPr>
          <w:rFonts w:ascii="Arial" w:hAnsi="Arial" w:cs="Arial"/>
          <w:color w:val="000000"/>
          <w:sz w:val="22"/>
          <w:szCs w:val="22"/>
        </w:rPr>
        <w:t>adresindeki internet tabanlı</w:t>
      </w:r>
      <w:r w:rsidRPr="00F12E12">
        <w:rPr>
          <w:rFonts w:ascii="Arial" w:hAnsi="Arial" w:cs="Arial"/>
          <w:color w:val="000000"/>
          <w:sz w:val="22"/>
          <w:szCs w:val="22"/>
        </w:rPr>
        <w:t xml:space="preserve"> başvuru formunu en geç </w:t>
      </w:r>
      <w:r w:rsidR="000F709B">
        <w:rPr>
          <w:rFonts w:ascii="Arial" w:hAnsi="Arial" w:cs="Arial"/>
          <w:b/>
          <w:color w:val="000000"/>
          <w:sz w:val="22"/>
          <w:szCs w:val="22"/>
        </w:rPr>
        <w:t>30</w:t>
      </w:r>
      <w:r w:rsidRPr="00F12E12">
        <w:rPr>
          <w:rFonts w:ascii="Arial" w:hAnsi="Arial" w:cs="Arial"/>
          <w:b/>
          <w:color w:val="000000"/>
          <w:sz w:val="22"/>
          <w:szCs w:val="22"/>
        </w:rPr>
        <w:t xml:space="preserve"> Ekim 2015</w:t>
      </w:r>
      <w:r w:rsidRPr="00F12E12">
        <w:rPr>
          <w:rFonts w:ascii="Arial" w:hAnsi="Arial" w:cs="Arial"/>
          <w:color w:val="000000"/>
          <w:sz w:val="22"/>
          <w:szCs w:val="22"/>
        </w:rPr>
        <w:t xml:space="preserve"> tarihine kadar doldurmaları gerekmektedir. Bu tarihten sonra yapılan başvurular değerlendirmeye alınmaz. </w:t>
      </w:r>
      <w:r w:rsidR="00094FAE">
        <w:rPr>
          <w:rFonts w:ascii="Arial" w:hAnsi="Arial" w:cs="Arial"/>
          <w:color w:val="000000"/>
          <w:sz w:val="22"/>
          <w:szCs w:val="22"/>
        </w:rPr>
        <w:t>Başvuru formuyla beraber</w:t>
      </w:r>
      <w:r w:rsidRPr="00F12E12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history="1">
        <w:r w:rsidR="00E446AF">
          <w:rPr>
            <w:rStyle w:val="Kpr"/>
            <w:rFonts w:ascii="Arial" w:hAnsi="Arial" w:cs="Arial"/>
            <w:sz w:val="22"/>
            <w:szCs w:val="22"/>
          </w:rPr>
          <w:t>Bütçe &amp; Faaliyet Planı</w:t>
        </w:r>
      </w:hyperlink>
      <w:r w:rsidR="00E446AF">
        <w:rPr>
          <w:rFonts w:ascii="Arial" w:hAnsi="Arial" w:cs="Arial"/>
          <w:color w:val="000000"/>
          <w:sz w:val="22"/>
          <w:szCs w:val="22"/>
        </w:rPr>
        <w:t xml:space="preserve">’nın </w:t>
      </w:r>
      <w:r w:rsidR="00094FAE">
        <w:rPr>
          <w:rFonts w:ascii="Arial" w:hAnsi="Arial" w:cs="Arial"/>
          <w:color w:val="000000"/>
          <w:sz w:val="22"/>
          <w:szCs w:val="22"/>
        </w:rPr>
        <w:t xml:space="preserve">da sisteme </w:t>
      </w:r>
      <w:r w:rsidRPr="00F12E12">
        <w:rPr>
          <w:rFonts w:ascii="Arial" w:hAnsi="Arial" w:cs="Arial"/>
          <w:color w:val="000000"/>
          <w:sz w:val="22"/>
          <w:szCs w:val="22"/>
        </w:rPr>
        <w:t xml:space="preserve">yüklenmesi gerekmektedir. </w:t>
      </w:r>
      <w:hyperlink r:id="rId8" w:history="1">
        <w:r w:rsidR="00E446AF" w:rsidRPr="00E446AF">
          <w:rPr>
            <w:rStyle w:val="Kpr"/>
            <w:rFonts w:ascii="Arial" w:hAnsi="Arial" w:cs="Arial"/>
            <w:sz w:val="22"/>
            <w:szCs w:val="22"/>
          </w:rPr>
          <w:t>Bu şablona</w:t>
        </w:r>
      </w:hyperlink>
      <w:r w:rsidR="00E446AF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2E12">
        <w:rPr>
          <w:rFonts w:ascii="Arial" w:hAnsi="Arial" w:cs="Arial"/>
          <w:color w:val="000000"/>
          <w:sz w:val="22"/>
          <w:szCs w:val="22"/>
        </w:rPr>
        <w:t xml:space="preserve">uygun olarak hazırlanmamış başvurular değerlendirmeye alınmaz. </w:t>
      </w:r>
    </w:p>
    <w:p w:rsidR="00F12E12" w:rsidRPr="00F12E12" w:rsidRDefault="00F12E12" w:rsidP="00E2506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12E12" w:rsidRPr="00F12E12" w:rsidRDefault="00F12E12" w:rsidP="00E2506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12E12">
        <w:rPr>
          <w:rFonts w:ascii="Arial" w:hAnsi="Arial" w:cs="Arial"/>
          <w:color w:val="000000"/>
          <w:sz w:val="22"/>
          <w:szCs w:val="22"/>
        </w:rPr>
        <w:t>Başvuru ile ilgili</w:t>
      </w:r>
      <w:r w:rsidR="00094FAE">
        <w:rPr>
          <w:rFonts w:ascii="Arial" w:hAnsi="Arial" w:cs="Arial"/>
          <w:color w:val="000000"/>
          <w:sz w:val="22"/>
          <w:szCs w:val="22"/>
        </w:rPr>
        <w:t xml:space="preserve"> tüm sorularınız için: </w:t>
      </w:r>
      <w:hyperlink r:id="rId9" w:history="1">
        <w:r w:rsidR="00865F3F" w:rsidRPr="00A61351">
          <w:rPr>
            <w:rStyle w:val="Kpr"/>
            <w:rFonts w:ascii="Arial" w:hAnsi="Arial" w:cs="Arial"/>
            <w:sz w:val="22"/>
            <w:szCs w:val="22"/>
          </w:rPr>
          <w:t>genclikarastirmalarifonu@tog.org.tr</w:t>
        </w:r>
      </w:hyperlink>
      <w:r w:rsidR="00865F3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12E12" w:rsidRDefault="00F12E12" w:rsidP="00E25067">
      <w:pPr>
        <w:spacing w:after="160"/>
        <w:jc w:val="both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:rsidR="00B57FD9" w:rsidRPr="00B57FD9" w:rsidRDefault="00B57FD9" w:rsidP="00E25067">
      <w:pPr>
        <w:spacing w:after="160"/>
        <w:jc w:val="both"/>
        <w:rPr>
          <w:rFonts w:ascii="Arial" w:hAnsi="Arial" w:cs="Arial"/>
          <w:b/>
          <w:color w:val="943634" w:themeColor="accent2" w:themeShade="BF"/>
          <w:sz w:val="22"/>
          <w:szCs w:val="22"/>
        </w:rPr>
      </w:pPr>
      <w:r w:rsidRPr="00B57FD9">
        <w:rPr>
          <w:rFonts w:ascii="Arial" w:hAnsi="Arial" w:cs="Arial"/>
          <w:b/>
          <w:color w:val="943634" w:themeColor="accent2" w:themeShade="BF"/>
          <w:sz w:val="22"/>
          <w:szCs w:val="22"/>
        </w:rPr>
        <w:t>Bütçe ile İlgili Bilgiler</w:t>
      </w:r>
    </w:p>
    <w:p w:rsidR="003973C6" w:rsidRDefault="003973C6" w:rsidP="00E25067">
      <w:pPr>
        <w:spacing w:after="160"/>
        <w:jc w:val="both"/>
        <w:rPr>
          <w:rFonts w:ascii="Arial" w:hAnsi="Arial" w:cs="Arial"/>
          <w:color w:val="000000"/>
          <w:sz w:val="22"/>
          <w:szCs w:val="22"/>
        </w:rPr>
      </w:pPr>
      <w:r w:rsidRPr="003973C6">
        <w:rPr>
          <w:rFonts w:ascii="Arial" w:hAnsi="Arial" w:cs="Arial"/>
          <w:color w:val="000000"/>
          <w:sz w:val="22"/>
          <w:szCs w:val="22"/>
        </w:rPr>
        <w:t>Gençlik Araştırmaları Fonu’nun</w:t>
      </w:r>
      <w:r w:rsidR="00E42A27">
        <w:rPr>
          <w:rFonts w:ascii="Arial" w:hAnsi="Arial" w:cs="Arial"/>
          <w:color w:val="000000"/>
          <w:sz w:val="22"/>
          <w:szCs w:val="22"/>
        </w:rPr>
        <w:t xml:space="preserve"> 2015-2016</w:t>
      </w:r>
      <w:r w:rsidRPr="003973C6">
        <w:rPr>
          <w:rFonts w:ascii="Arial" w:hAnsi="Arial" w:cs="Arial"/>
          <w:color w:val="000000"/>
          <w:sz w:val="22"/>
          <w:szCs w:val="22"/>
        </w:rPr>
        <w:t xml:space="preserve"> toplam bütçe</w:t>
      </w:r>
      <w:r>
        <w:rPr>
          <w:rFonts w:ascii="Arial" w:hAnsi="Arial" w:cs="Arial"/>
          <w:color w:val="000000"/>
          <w:sz w:val="22"/>
          <w:szCs w:val="22"/>
        </w:rPr>
        <w:t>si 100.000 TL’dir. Bu bütçenin %70’</w:t>
      </w:r>
      <w:r w:rsidRPr="003973C6">
        <w:rPr>
          <w:rFonts w:ascii="Arial" w:hAnsi="Arial" w:cs="Arial"/>
          <w:color w:val="000000"/>
          <w:sz w:val="22"/>
          <w:szCs w:val="22"/>
        </w:rPr>
        <w:t>i doğrudan araştırmalara aktarılacak, geri kalan kısmı Fon bünyesindeki diğer etkinlikler için harcanacaktır.</w:t>
      </w:r>
    </w:p>
    <w:p w:rsidR="00B57FD9" w:rsidRPr="003973C6" w:rsidRDefault="00B57FD9" w:rsidP="00E25067">
      <w:pPr>
        <w:spacing w:after="160"/>
        <w:jc w:val="both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Bütçe ile ilgili kurallar aşağıdaki gibidir:</w:t>
      </w:r>
    </w:p>
    <w:p w:rsidR="00B57FD9" w:rsidRDefault="003973C6" w:rsidP="00E25067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57FD9">
        <w:rPr>
          <w:rFonts w:ascii="Arial" w:hAnsi="Arial" w:cs="Arial"/>
          <w:color w:val="000000"/>
          <w:sz w:val="22"/>
          <w:szCs w:val="22"/>
        </w:rPr>
        <w:t>Başvurudaki toplam bütçenin en fazla %25’i araştırmacıya insan kaynağı olarak aktarılabilir. Ancak çeviri, deşifre, vb. hizmet alımları bütçede  insan kaynağı dışında, hizmet alımı maliyeti olarak bütçelendirilebilir.</w:t>
      </w:r>
    </w:p>
    <w:p w:rsidR="00D46DB6" w:rsidRDefault="00D46DB6" w:rsidP="00E25067">
      <w:pPr>
        <w:pStyle w:val="ListeParagraf"/>
        <w:jc w:val="both"/>
        <w:rPr>
          <w:rFonts w:ascii="Arial" w:hAnsi="Arial" w:cs="Arial"/>
          <w:color w:val="000000"/>
          <w:sz w:val="22"/>
          <w:szCs w:val="22"/>
        </w:rPr>
      </w:pPr>
    </w:p>
    <w:p w:rsidR="00D46DB6" w:rsidRDefault="00B57FD9" w:rsidP="00E25067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DB6">
        <w:rPr>
          <w:rFonts w:ascii="Arial" w:hAnsi="Arial" w:cs="Arial"/>
          <w:color w:val="000000"/>
          <w:sz w:val="22"/>
          <w:szCs w:val="22"/>
        </w:rPr>
        <w:t xml:space="preserve">Başvurucu, </w:t>
      </w:r>
      <w:r w:rsidR="00D46DB6">
        <w:rPr>
          <w:rFonts w:ascii="Arial" w:hAnsi="Arial" w:cs="Arial"/>
          <w:color w:val="000000"/>
          <w:sz w:val="22"/>
          <w:szCs w:val="22"/>
        </w:rPr>
        <w:t xml:space="preserve">ilgili </w:t>
      </w:r>
      <w:r w:rsidRPr="00D46DB6">
        <w:rPr>
          <w:rFonts w:ascii="Arial" w:hAnsi="Arial" w:cs="Arial"/>
          <w:color w:val="000000"/>
          <w:sz w:val="22"/>
          <w:szCs w:val="22"/>
        </w:rPr>
        <w:t>başvuru formu ile birlik</w:t>
      </w:r>
      <w:r w:rsidR="00D46DB6">
        <w:rPr>
          <w:rFonts w:ascii="Arial" w:hAnsi="Arial" w:cs="Arial"/>
          <w:color w:val="000000"/>
          <w:sz w:val="22"/>
          <w:szCs w:val="22"/>
        </w:rPr>
        <w:t xml:space="preserve">te ilgili </w:t>
      </w:r>
      <w:r w:rsidR="00D46DB6" w:rsidRPr="00D46DB6">
        <w:rPr>
          <w:rFonts w:ascii="Arial" w:hAnsi="Arial" w:cs="Arial"/>
          <w:color w:val="000000"/>
          <w:sz w:val="22"/>
          <w:szCs w:val="22"/>
        </w:rPr>
        <w:t xml:space="preserve">bütçe ve faaliyet planını hazırlamak ve sunmakla yükümlüdür. </w:t>
      </w:r>
    </w:p>
    <w:p w:rsidR="00D46DB6" w:rsidRPr="00D46DB6" w:rsidRDefault="00D46DB6" w:rsidP="00E2506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46DB6" w:rsidRDefault="00D46DB6" w:rsidP="00E25067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Başvurucu fon almaya hak kazandığı takdirde ilgili bütçede sunduğu tüm kalemler için gerekli belgeleri istenildiğinde göstermekle yükümlüdür. </w:t>
      </w:r>
    </w:p>
    <w:p w:rsidR="00D46DB6" w:rsidRPr="00D46DB6" w:rsidRDefault="00D46DB6" w:rsidP="00E2506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65460" w:rsidRDefault="00D46DB6" w:rsidP="00E25067">
      <w:pPr>
        <w:pStyle w:val="ListeParagraf"/>
        <w:numPr>
          <w:ilvl w:val="0"/>
          <w:numId w:val="5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46DB6">
        <w:rPr>
          <w:rFonts w:ascii="Arial" w:hAnsi="Arial" w:cs="Arial"/>
          <w:color w:val="000000"/>
          <w:sz w:val="22"/>
          <w:szCs w:val="22"/>
        </w:rPr>
        <w:t>Araştırma teklifinin halihazırda yürütülmekte veya yürütülecek olan başka bir araştırmanın parçası olması halinde, ilgili bütçe kalemlerinin iki kez fonlanmayacağı araştırmacı tarafından belgelendirilebilmelidir.</w:t>
      </w:r>
    </w:p>
    <w:p w:rsidR="00765460" w:rsidRPr="00765460" w:rsidRDefault="00765460" w:rsidP="00E25067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973C6" w:rsidRPr="00765460" w:rsidRDefault="003973C6" w:rsidP="00E25067">
      <w:pPr>
        <w:pStyle w:val="ListeParagraf"/>
        <w:numPr>
          <w:ilvl w:val="0"/>
          <w:numId w:val="5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65460">
        <w:rPr>
          <w:rFonts w:ascii="Arial" w:hAnsi="Arial" w:cs="Arial"/>
          <w:color w:val="000000"/>
          <w:sz w:val="22"/>
          <w:szCs w:val="22"/>
        </w:rPr>
        <w:t>Destek almaya hak kazanan araştırmacılar, üzerine anlaşılan takvim çerçevesinde araştırmalarını yapar ve belirli dönemler çerçeve</w:t>
      </w:r>
      <w:r w:rsidR="002F0F67" w:rsidRPr="00765460">
        <w:rPr>
          <w:rFonts w:ascii="Arial" w:hAnsi="Arial" w:cs="Arial"/>
          <w:color w:val="000000"/>
          <w:sz w:val="22"/>
          <w:szCs w:val="22"/>
        </w:rPr>
        <w:t xml:space="preserve">sinde ödemelerini alırlar. </w:t>
      </w:r>
      <w:r w:rsidRPr="00765460">
        <w:rPr>
          <w:rFonts w:ascii="Arial" w:hAnsi="Arial" w:cs="Arial"/>
          <w:color w:val="000000"/>
          <w:sz w:val="22"/>
          <w:szCs w:val="22"/>
        </w:rPr>
        <w:t>Araştırmanın son ödemesi, araştırmacının makalesini teslim etmesi sonrası hayata geçer.</w:t>
      </w:r>
    </w:p>
    <w:p w:rsidR="00925D78" w:rsidRDefault="00925D78" w:rsidP="00E2506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5D78" w:rsidRPr="00925D78" w:rsidRDefault="00854D56" w:rsidP="00E25067">
      <w:pPr>
        <w:spacing w:after="160"/>
        <w:jc w:val="both"/>
        <w:rPr>
          <w:rFonts w:ascii="Arial" w:hAnsi="Arial" w:cs="Arial"/>
          <w:b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b/>
          <w:color w:val="943634" w:themeColor="accent2" w:themeShade="BF"/>
          <w:sz w:val="22"/>
          <w:szCs w:val="22"/>
        </w:rPr>
        <w:t xml:space="preserve">Araştırmacılara Yönelik </w:t>
      </w:r>
      <w:r w:rsidR="00925D78" w:rsidRPr="00925D78">
        <w:rPr>
          <w:rFonts w:ascii="Arial" w:hAnsi="Arial" w:cs="Arial"/>
          <w:b/>
          <w:color w:val="943634" w:themeColor="accent2" w:themeShade="BF"/>
          <w:sz w:val="22"/>
          <w:szCs w:val="22"/>
        </w:rPr>
        <w:t>Diğer Olanaklar</w:t>
      </w:r>
    </w:p>
    <w:p w:rsidR="003973C6" w:rsidRPr="003973C6" w:rsidRDefault="003973C6" w:rsidP="00E25067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:rsidR="003973C6" w:rsidRPr="003973C6" w:rsidRDefault="003973C6" w:rsidP="00E25067">
      <w:pPr>
        <w:jc w:val="both"/>
        <w:rPr>
          <w:rFonts w:ascii="Times" w:hAnsi="Times" w:cs="Times New Roman"/>
          <w:sz w:val="20"/>
          <w:szCs w:val="20"/>
        </w:rPr>
      </w:pPr>
      <w:r w:rsidRPr="003973C6">
        <w:rPr>
          <w:rFonts w:ascii="Arial" w:hAnsi="Arial" w:cs="Arial"/>
          <w:color w:val="000000"/>
          <w:sz w:val="22"/>
          <w:szCs w:val="22"/>
        </w:rPr>
        <w:t>Dileyen araştırmacılar makalenin son halini teslim etti</w:t>
      </w:r>
      <w:r>
        <w:rPr>
          <w:rFonts w:ascii="Arial" w:hAnsi="Arial" w:cs="Arial"/>
          <w:color w:val="000000"/>
          <w:sz w:val="22"/>
          <w:szCs w:val="22"/>
        </w:rPr>
        <w:t>kten</w:t>
      </w:r>
      <w:r w:rsidRPr="003973C6">
        <w:rPr>
          <w:rFonts w:ascii="Arial" w:hAnsi="Arial" w:cs="Arial"/>
          <w:color w:val="000000"/>
          <w:sz w:val="22"/>
          <w:szCs w:val="22"/>
        </w:rPr>
        <w:t xml:space="preserve"> sonra</w:t>
      </w:r>
      <w:r>
        <w:rPr>
          <w:rFonts w:ascii="Arial" w:hAnsi="Arial" w:cs="Arial"/>
          <w:color w:val="000000"/>
          <w:sz w:val="22"/>
          <w:szCs w:val="22"/>
        </w:rPr>
        <w:t xml:space="preserve"> bir sene</w:t>
      </w:r>
      <w:r w:rsidRPr="003973C6">
        <w:rPr>
          <w:rFonts w:ascii="Arial" w:hAnsi="Arial" w:cs="Arial"/>
          <w:color w:val="000000"/>
          <w:sz w:val="22"/>
          <w:szCs w:val="22"/>
        </w:rPr>
        <w:t xml:space="preserve"> iç</w:t>
      </w:r>
      <w:r>
        <w:rPr>
          <w:rFonts w:ascii="Arial" w:hAnsi="Arial" w:cs="Arial"/>
          <w:color w:val="000000"/>
          <w:sz w:val="22"/>
          <w:szCs w:val="22"/>
        </w:rPr>
        <w:t>er</w:t>
      </w:r>
      <w:r w:rsidR="002F0F67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3973C6">
        <w:rPr>
          <w:rFonts w:ascii="Arial" w:hAnsi="Arial" w:cs="Arial"/>
          <w:color w:val="000000"/>
          <w:sz w:val="22"/>
          <w:szCs w:val="22"/>
        </w:rPr>
        <w:t xml:space="preserve">inde araştırma makalelerini Türkçe dışında bir dilde </w:t>
      </w:r>
      <w:proofErr w:type="spellStart"/>
      <w:r w:rsidR="0058087B">
        <w:rPr>
          <w:rFonts w:ascii="Arial" w:hAnsi="Arial" w:cs="Arial"/>
          <w:color w:val="000000"/>
          <w:sz w:val="22"/>
          <w:szCs w:val="22"/>
        </w:rPr>
        <w:t>Social</w:t>
      </w:r>
      <w:proofErr w:type="spellEnd"/>
      <w:r w:rsidR="005808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8087B">
        <w:rPr>
          <w:rFonts w:ascii="Arial" w:hAnsi="Arial" w:cs="Arial"/>
          <w:color w:val="000000"/>
          <w:sz w:val="22"/>
          <w:szCs w:val="22"/>
        </w:rPr>
        <w:t>Sciences</w:t>
      </w:r>
      <w:proofErr w:type="spellEnd"/>
      <w:r w:rsidR="005808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8087B">
        <w:rPr>
          <w:rFonts w:ascii="Arial" w:hAnsi="Arial" w:cs="Arial"/>
          <w:color w:val="000000"/>
          <w:sz w:val="22"/>
          <w:szCs w:val="22"/>
        </w:rPr>
        <w:t>Citation</w:t>
      </w:r>
      <w:proofErr w:type="spellEnd"/>
      <w:r w:rsidR="005808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8087B">
        <w:rPr>
          <w:rFonts w:ascii="Arial" w:hAnsi="Arial" w:cs="Arial"/>
          <w:color w:val="000000"/>
          <w:sz w:val="22"/>
          <w:szCs w:val="22"/>
        </w:rPr>
        <w:t>Index</w:t>
      </w:r>
      <w:proofErr w:type="spellEnd"/>
      <w:r w:rsidR="0058087B">
        <w:rPr>
          <w:rFonts w:ascii="Arial" w:hAnsi="Arial" w:cs="Arial"/>
          <w:color w:val="000000"/>
          <w:sz w:val="22"/>
          <w:szCs w:val="22"/>
        </w:rPr>
        <w:t xml:space="preserve"> tarafından taranan</w:t>
      </w:r>
      <w:r w:rsidRPr="003973C6">
        <w:rPr>
          <w:rFonts w:ascii="Arial" w:hAnsi="Arial" w:cs="Arial"/>
          <w:color w:val="000000"/>
          <w:sz w:val="22"/>
          <w:szCs w:val="22"/>
        </w:rPr>
        <w:t xml:space="preserve"> hakemli bir dergiye de gönderebilir. Bu durumda, makalenin kabul edilmesine bakılmaksızın Fon’dan 1.000 TL daha destek almaya hak kazanırlar. </w:t>
      </w:r>
    </w:p>
    <w:p w:rsidR="003973C6" w:rsidRPr="003973C6" w:rsidRDefault="003973C6" w:rsidP="00E25067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:rsidR="003973C6" w:rsidRDefault="003973C6" w:rsidP="00E2506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973C6">
        <w:rPr>
          <w:rFonts w:ascii="Arial" w:hAnsi="Arial" w:cs="Arial"/>
          <w:color w:val="000000"/>
          <w:sz w:val="22"/>
          <w:szCs w:val="22"/>
        </w:rPr>
        <w:t>İstanbul’dan başvuran araştırmacılar, dilerlerse, İstanbul Bilgi Üniversitesi Santral Kampüsündeki Sivil Toplum Çalışmaları Merkezi bünyesindeki Sosyal Kuluçka Merkezi’ni araştırmalarını hayata geçirirken ofis olarak kullanabilirler.</w:t>
      </w:r>
    </w:p>
    <w:p w:rsidR="00D46DB6" w:rsidRDefault="00D46DB6" w:rsidP="00E2506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A10C0" w:rsidRDefault="002A10C0" w:rsidP="00E2506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A10C0" w:rsidRDefault="002A10C0" w:rsidP="00E2506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A10C0" w:rsidRDefault="002A10C0" w:rsidP="00E2506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446AF" w:rsidRDefault="00E446AF" w:rsidP="00E2506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446AF" w:rsidRDefault="00E446AF" w:rsidP="00E2506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73C6" w:rsidRPr="00E42A27" w:rsidRDefault="003973C6" w:rsidP="00E25067">
      <w:pPr>
        <w:jc w:val="both"/>
        <w:rPr>
          <w:rFonts w:ascii="Times" w:eastAsia="Times New Roman" w:hAnsi="Times" w:cs="Times New Roman"/>
          <w:color w:val="943634" w:themeColor="accent2" w:themeShade="BF"/>
          <w:sz w:val="20"/>
          <w:szCs w:val="20"/>
        </w:rPr>
      </w:pPr>
    </w:p>
    <w:p w:rsidR="00E42A27" w:rsidRDefault="00E42A27" w:rsidP="00E25067">
      <w:pPr>
        <w:jc w:val="both"/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</w:pPr>
      <w:r w:rsidRPr="00E42A27"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  <w:lastRenderedPageBreak/>
        <w:t>Araştırmacıdan beklenenler</w:t>
      </w:r>
    </w:p>
    <w:p w:rsidR="0061128C" w:rsidRDefault="0061128C" w:rsidP="00E25067">
      <w:pPr>
        <w:jc w:val="both"/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</w:pPr>
    </w:p>
    <w:p w:rsidR="0061128C" w:rsidRDefault="0061128C" w:rsidP="00E2506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973C6">
        <w:rPr>
          <w:rFonts w:ascii="Arial" w:hAnsi="Arial" w:cs="Arial"/>
          <w:color w:val="000000"/>
          <w:sz w:val="22"/>
          <w:szCs w:val="22"/>
        </w:rPr>
        <w:t xml:space="preserve">Araştırma sonuçları ve telif hakları araştırmacıya aittir. </w:t>
      </w:r>
      <w:r>
        <w:rPr>
          <w:rFonts w:ascii="Arial" w:hAnsi="Arial" w:cs="Arial"/>
          <w:color w:val="000000"/>
          <w:sz w:val="22"/>
          <w:szCs w:val="22"/>
        </w:rPr>
        <w:t xml:space="preserve">Bununla birlikte araştırmacıdan bu destek kapsamında yayın hakları Fon sağlayıcı kuruluşlara ait olmak üzere </w:t>
      </w:r>
      <w:r w:rsidR="00533F65">
        <w:rPr>
          <w:rFonts w:ascii="Arial" w:hAnsi="Arial" w:cs="Arial"/>
          <w:color w:val="000000"/>
          <w:sz w:val="22"/>
          <w:szCs w:val="22"/>
        </w:rPr>
        <w:t xml:space="preserve">Türkçe </w:t>
      </w:r>
      <w:r>
        <w:rPr>
          <w:rFonts w:ascii="Arial" w:hAnsi="Arial" w:cs="Arial"/>
          <w:color w:val="000000"/>
          <w:sz w:val="22"/>
          <w:szCs w:val="22"/>
        </w:rPr>
        <w:t>bir makale yazması beklenir.</w:t>
      </w:r>
      <w:r w:rsidR="001466C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42A27" w:rsidRPr="003973C6" w:rsidRDefault="00E42A27" w:rsidP="00E25067">
      <w:pPr>
        <w:jc w:val="both"/>
        <w:rPr>
          <w:rFonts w:ascii="Times" w:hAnsi="Times" w:cs="Times New Roman"/>
          <w:sz w:val="20"/>
          <w:szCs w:val="20"/>
        </w:rPr>
      </w:pPr>
    </w:p>
    <w:p w:rsidR="00E42A27" w:rsidRDefault="00E42A27" w:rsidP="00E2506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973C6">
        <w:rPr>
          <w:rFonts w:ascii="Arial" w:hAnsi="Arial" w:cs="Arial"/>
          <w:color w:val="000000"/>
          <w:sz w:val="22"/>
          <w:szCs w:val="22"/>
        </w:rPr>
        <w:t xml:space="preserve">Desteklenmeye hak kazanan araştırma sahiplerinden </w:t>
      </w:r>
      <w:r w:rsidR="0061128C">
        <w:rPr>
          <w:rFonts w:ascii="Arial" w:hAnsi="Arial" w:cs="Arial"/>
          <w:color w:val="000000"/>
          <w:sz w:val="22"/>
          <w:szCs w:val="22"/>
        </w:rPr>
        <w:t xml:space="preserve">aynı zamanda </w:t>
      </w:r>
      <w:r w:rsidRPr="003973C6">
        <w:rPr>
          <w:rFonts w:ascii="Arial" w:hAnsi="Arial" w:cs="Arial"/>
          <w:color w:val="000000"/>
          <w:sz w:val="22"/>
          <w:szCs w:val="22"/>
        </w:rPr>
        <w:t>aşağıdaki kon</w:t>
      </w:r>
      <w:r w:rsidR="008D7136">
        <w:rPr>
          <w:rFonts w:ascii="Arial" w:hAnsi="Arial" w:cs="Arial"/>
          <w:color w:val="000000"/>
          <w:sz w:val="22"/>
          <w:szCs w:val="22"/>
        </w:rPr>
        <w:t>ularda işbirliği beklenmektedir:</w:t>
      </w:r>
    </w:p>
    <w:p w:rsidR="00E42A27" w:rsidRPr="003973C6" w:rsidRDefault="00E42A27" w:rsidP="00E25067">
      <w:pPr>
        <w:jc w:val="both"/>
        <w:rPr>
          <w:rFonts w:ascii="Times" w:hAnsi="Times" w:cs="Times New Roman"/>
          <w:sz w:val="20"/>
          <w:szCs w:val="20"/>
        </w:rPr>
      </w:pPr>
    </w:p>
    <w:p w:rsidR="00854D56" w:rsidRDefault="00854D56" w:rsidP="00E25067">
      <w:pPr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Mart 2016’da araştırmanın Ara Raporu’nu Fon Koordinasyon ekibiyle paylaşmak</w:t>
      </w:r>
    </w:p>
    <w:p w:rsidR="00854D56" w:rsidRPr="00854D56" w:rsidRDefault="00854D56" w:rsidP="00E25067">
      <w:pPr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Nisan </w:t>
      </w:r>
      <w:r w:rsidR="00E42A27" w:rsidRPr="003973C6">
        <w:rPr>
          <w:rFonts w:ascii="Arial" w:hAnsi="Arial" w:cs="Arial"/>
          <w:color w:val="000000"/>
          <w:sz w:val="22"/>
          <w:szCs w:val="22"/>
        </w:rPr>
        <w:t>2016’da İstanbul’da yapılacak bir ara toplantıya katılarak diğer araştırmacılarla araştırma üzerine tartışma</w:t>
      </w:r>
      <w:r>
        <w:rPr>
          <w:rFonts w:ascii="Arial" w:hAnsi="Arial" w:cs="Arial"/>
          <w:color w:val="000000"/>
          <w:sz w:val="22"/>
          <w:szCs w:val="22"/>
        </w:rPr>
        <w:t>k</w:t>
      </w:r>
    </w:p>
    <w:p w:rsidR="00E42A27" w:rsidRPr="003973C6" w:rsidRDefault="00E42A27" w:rsidP="00E25067">
      <w:pPr>
        <w:numPr>
          <w:ilvl w:val="0"/>
          <w:numId w:val="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973C6">
        <w:rPr>
          <w:rFonts w:ascii="Arial" w:hAnsi="Arial" w:cs="Arial"/>
          <w:color w:val="000000"/>
          <w:sz w:val="22"/>
          <w:szCs w:val="22"/>
        </w:rPr>
        <w:t>Ağustos 2016’da araştırma final toplantısına katılarak araştırmanın son h</w:t>
      </w:r>
      <w:r w:rsidR="00854D56">
        <w:rPr>
          <w:rFonts w:ascii="Arial" w:hAnsi="Arial" w:cs="Arial"/>
          <w:color w:val="000000"/>
          <w:sz w:val="22"/>
          <w:szCs w:val="22"/>
        </w:rPr>
        <w:t>alini kamuya açık bir toplantıda</w:t>
      </w:r>
      <w:r w:rsidRPr="003973C6">
        <w:rPr>
          <w:rFonts w:ascii="Arial" w:hAnsi="Arial" w:cs="Arial"/>
          <w:color w:val="000000"/>
          <w:sz w:val="22"/>
          <w:szCs w:val="22"/>
        </w:rPr>
        <w:t xml:space="preserve"> sunmak</w:t>
      </w:r>
    </w:p>
    <w:p w:rsidR="00E42A27" w:rsidRPr="003973C6" w:rsidRDefault="00E42A27" w:rsidP="00E25067">
      <w:pPr>
        <w:numPr>
          <w:ilvl w:val="0"/>
          <w:numId w:val="4"/>
        </w:numPr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973C6">
        <w:rPr>
          <w:rFonts w:ascii="Arial" w:eastAsia="Times New Roman" w:hAnsi="Arial" w:cs="Arial"/>
          <w:color w:val="000000"/>
          <w:sz w:val="22"/>
          <w:szCs w:val="22"/>
        </w:rPr>
        <w:t>Eylül 2016’da final toplantısı sonrası makalenin son halini ve ar</w:t>
      </w:r>
      <w:r w:rsidR="00854D56">
        <w:rPr>
          <w:rFonts w:ascii="Arial" w:eastAsia="Times New Roman" w:hAnsi="Arial" w:cs="Arial"/>
          <w:color w:val="000000"/>
          <w:sz w:val="22"/>
          <w:szCs w:val="22"/>
        </w:rPr>
        <w:t>aştırma raporunu teslim etmek</w:t>
      </w:r>
    </w:p>
    <w:p w:rsidR="00E42A27" w:rsidRPr="008D7136" w:rsidRDefault="008D7136" w:rsidP="008D713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D7136">
        <w:rPr>
          <w:rFonts w:ascii="Arial" w:hAnsi="Arial" w:cs="Arial"/>
          <w:color w:val="000000"/>
          <w:sz w:val="22"/>
          <w:szCs w:val="22"/>
        </w:rPr>
        <w:t>Araştırmanın süresi en fazla 8 ay olarak kurgulanmalıdır.</w:t>
      </w:r>
    </w:p>
    <w:p w:rsidR="008D7136" w:rsidRPr="003973C6" w:rsidRDefault="008D7136" w:rsidP="003973C6">
      <w:pPr>
        <w:rPr>
          <w:rFonts w:ascii="Times" w:eastAsia="Times New Roman" w:hAnsi="Times" w:cs="Times New Roman"/>
          <w:sz w:val="20"/>
          <w:szCs w:val="20"/>
        </w:rPr>
      </w:pPr>
    </w:p>
    <w:p w:rsidR="003973C6" w:rsidRPr="00E42A27" w:rsidRDefault="003973C6" w:rsidP="003973C6">
      <w:pPr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</w:pPr>
      <w:r w:rsidRPr="00E42A27"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  <w:t>Gençlik Araştırmaları Fonu Takvimi</w:t>
      </w:r>
    </w:p>
    <w:p w:rsidR="00E42A27" w:rsidRPr="003973C6" w:rsidRDefault="00E42A27" w:rsidP="003973C6">
      <w:pPr>
        <w:rPr>
          <w:rFonts w:ascii="Times" w:hAnsi="Times" w:cs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37"/>
        <w:gridCol w:w="2879"/>
      </w:tblGrid>
      <w:tr w:rsidR="000F709B" w:rsidRPr="006A5A00" w:rsidTr="00E22198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9B" w:rsidRPr="006A5A00" w:rsidRDefault="000F709B" w:rsidP="00E2219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5A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Son başvuru tarihi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9B" w:rsidRPr="006A5A00" w:rsidRDefault="000F709B" w:rsidP="00E2219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5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 Ekim 2015</w:t>
            </w:r>
          </w:p>
        </w:tc>
      </w:tr>
      <w:tr w:rsidR="000F709B" w:rsidRPr="006A5A00" w:rsidTr="00E22198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9B" w:rsidRPr="006A5A00" w:rsidRDefault="000F709B" w:rsidP="00E2219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5A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Ön değerlendirmelerin yapılması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9B" w:rsidRPr="006A5A00" w:rsidRDefault="000F709B" w:rsidP="00E2219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5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1 - 15 Kasım 2015</w:t>
            </w:r>
          </w:p>
        </w:tc>
      </w:tr>
      <w:tr w:rsidR="000F709B" w:rsidRPr="006A5A00" w:rsidTr="00E22198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9B" w:rsidRPr="006A5A00" w:rsidRDefault="000F709B" w:rsidP="00E2219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5A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Ön değerlendirme sonucu uygunluk </w:t>
            </w:r>
            <w:proofErr w:type="gramStart"/>
            <w:r w:rsidRPr="006A5A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kriterlerini</w:t>
            </w:r>
            <w:proofErr w:type="gramEnd"/>
            <w:r w:rsidRPr="006A5A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karşılayan listenin Danışma Kurulu tarafından değerlendirilmesi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9B" w:rsidRPr="006A5A00" w:rsidRDefault="000F709B" w:rsidP="00E2219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5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 Kasım - 30 Kasım 2015</w:t>
            </w:r>
          </w:p>
        </w:tc>
      </w:tr>
      <w:tr w:rsidR="000F709B" w:rsidRPr="006A5A00" w:rsidTr="00E22198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9B" w:rsidRPr="006A5A00" w:rsidRDefault="000F709B" w:rsidP="00E2219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5A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Sonuçların ilanı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9B" w:rsidRPr="006A5A00" w:rsidRDefault="000F709B" w:rsidP="00E2219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5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Aralık 2015</w:t>
            </w:r>
          </w:p>
        </w:tc>
      </w:tr>
      <w:tr w:rsidR="000F709B" w:rsidRPr="006A5A00" w:rsidTr="00E22198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9B" w:rsidRPr="006A5A00" w:rsidRDefault="000F709B" w:rsidP="00E2219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5A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Sözleşmelerin imzalanması ve desteğin başlaması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9B" w:rsidRPr="006A5A00" w:rsidRDefault="000F709B" w:rsidP="00E2219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5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 Aralık - 20 Aralık 2015</w:t>
            </w:r>
          </w:p>
        </w:tc>
      </w:tr>
      <w:tr w:rsidR="000F709B" w:rsidRPr="006A5A00" w:rsidTr="00E22198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9B" w:rsidRPr="006A5A00" w:rsidRDefault="000F709B" w:rsidP="00E2219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5A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Ara toplantı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9B" w:rsidRPr="006A5A00" w:rsidRDefault="000F709B" w:rsidP="00E2219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5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Nisan 2016</w:t>
            </w:r>
          </w:p>
        </w:tc>
      </w:tr>
      <w:tr w:rsidR="000F709B" w:rsidRPr="006A5A00" w:rsidTr="00E22198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9B" w:rsidRPr="006A5A00" w:rsidRDefault="000F709B" w:rsidP="00E2219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5A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Final toplantısı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9B" w:rsidRPr="006A5A00" w:rsidRDefault="000F709B" w:rsidP="00E2219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5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Ağustos 2016</w:t>
            </w:r>
          </w:p>
        </w:tc>
      </w:tr>
      <w:tr w:rsidR="000F709B" w:rsidRPr="006A5A00" w:rsidTr="00E22198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9B" w:rsidRPr="006A5A00" w:rsidRDefault="000F709B" w:rsidP="00E2219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5A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Makalenin teslimi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9B" w:rsidRPr="006A5A00" w:rsidRDefault="000F709B" w:rsidP="00E2219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5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Eylül 2016</w:t>
            </w:r>
          </w:p>
        </w:tc>
      </w:tr>
      <w:tr w:rsidR="000F709B" w:rsidRPr="006A5A00" w:rsidTr="00E22198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9B" w:rsidRPr="006A5A00" w:rsidRDefault="000F709B" w:rsidP="00E2219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5A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Tüm makalelerin editör katkısıyla son haline gelmesi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9B" w:rsidRPr="006A5A00" w:rsidRDefault="000F709B" w:rsidP="00E2219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5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Aralık 2016</w:t>
            </w:r>
          </w:p>
        </w:tc>
      </w:tr>
      <w:tr w:rsidR="000F709B" w:rsidRPr="006A5A00" w:rsidTr="00E22198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9B" w:rsidRPr="006A5A00" w:rsidRDefault="000F709B" w:rsidP="00E2219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5A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Makalelerin bulunduğu kitabın dizimi ve basımı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9B" w:rsidRPr="006A5A00" w:rsidRDefault="000F709B" w:rsidP="00E2219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5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Nisan 2017</w:t>
            </w:r>
          </w:p>
        </w:tc>
      </w:tr>
      <w:tr w:rsidR="000F709B" w:rsidRPr="006A5A00" w:rsidTr="00E22198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9B" w:rsidRPr="006A5A00" w:rsidRDefault="000F709B" w:rsidP="00E2219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5A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Kitabın </w:t>
            </w:r>
            <w:proofErr w:type="spellStart"/>
            <w:r w:rsidRPr="006A5A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lansmanı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09B" w:rsidRPr="006A5A00" w:rsidRDefault="000F709B" w:rsidP="00E2219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A5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Mayıs 2017</w:t>
            </w:r>
          </w:p>
        </w:tc>
      </w:tr>
    </w:tbl>
    <w:p w:rsidR="005314D6" w:rsidRDefault="005314D6" w:rsidP="003973C6">
      <w:pPr>
        <w:rPr>
          <w:rFonts w:ascii="Arial" w:hAnsi="Arial" w:cs="Arial"/>
          <w:color w:val="000000"/>
          <w:sz w:val="22"/>
          <w:szCs w:val="22"/>
        </w:rPr>
      </w:pPr>
    </w:p>
    <w:p w:rsidR="003973C6" w:rsidRPr="003973C6" w:rsidRDefault="003973C6" w:rsidP="003973C6">
      <w:pPr>
        <w:rPr>
          <w:rFonts w:ascii="Times" w:eastAsia="Times New Roman" w:hAnsi="Times" w:cs="Times New Roman"/>
          <w:sz w:val="20"/>
          <w:szCs w:val="20"/>
        </w:rPr>
      </w:pPr>
    </w:p>
    <w:p w:rsidR="00351959" w:rsidRDefault="00351959"/>
    <w:sectPr w:rsidR="00351959" w:rsidSect="007F1C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1620"/>
    <w:multiLevelType w:val="multilevel"/>
    <w:tmpl w:val="10E4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9205E"/>
    <w:multiLevelType w:val="hybridMultilevel"/>
    <w:tmpl w:val="E2848E4C"/>
    <w:lvl w:ilvl="0" w:tplc="1AA69214">
      <w:start w:val="20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777AE"/>
    <w:multiLevelType w:val="multilevel"/>
    <w:tmpl w:val="23D8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56020"/>
    <w:multiLevelType w:val="multilevel"/>
    <w:tmpl w:val="D84E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A02DD"/>
    <w:multiLevelType w:val="hybridMultilevel"/>
    <w:tmpl w:val="08F04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E96145"/>
    <w:multiLevelType w:val="hybridMultilevel"/>
    <w:tmpl w:val="FAF05D28"/>
    <w:lvl w:ilvl="0" w:tplc="4D90F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E4FD3"/>
    <w:multiLevelType w:val="hybridMultilevel"/>
    <w:tmpl w:val="B4C697B0"/>
    <w:lvl w:ilvl="0" w:tplc="1AA69214">
      <w:start w:val="20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01E98"/>
    <w:multiLevelType w:val="multilevel"/>
    <w:tmpl w:val="A928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485163"/>
    <w:multiLevelType w:val="multilevel"/>
    <w:tmpl w:val="1E08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0554A"/>
    <w:multiLevelType w:val="hybridMultilevel"/>
    <w:tmpl w:val="75BAF716"/>
    <w:lvl w:ilvl="0" w:tplc="1AA69214">
      <w:start w:val="20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compat>
    <w:useFELayout/>
  </w:compat>
  <w:rsids>
    <w:rsidRoot w:val="003973C6"/>
    <w:rsid w:val="00094FAE"/>
    <w:rsid w:val="000A61C7"/>
    <w:rsid w:val="000F709B"/>
    <w:rsid w:val="001466CA"/>
    <w:rsid w:val="001E000A"/>
    <w:rsid w:val="002146F1"/>
    <w:rsid w:val="002A10C0"/>
    <w:rsid w:val="002F0F67"/>
    <w:rsid w:val="00351959"/>
    <w:rsid w:val="00360507"/>
    <w:rsid w:val="003973C6"/>
    <w:rsid w:val="003B7FD8"/>
    <w:rsid w:val="003D4DF1"/>
    <w:rsid w:val="00516D79"/>
    <w:rsid w:val="005314D6"/>
    <w:rsid w:val="00533F65"/>
    <w:rsid w:val="0058087B"/>
    <w:rsid w:val="0059151E"/>
    <w:rsid w:val="00605E64"/>
    <w:rsid w:val="0061128C"/>
    <w:rsid w:val="0065679A"/>
    <w:rsid w:val="0070063B"/>
    <w:rsid w:val="00765460"/>
    <w:rsid w:val="007F1C9E"/>
    <w:rsid w:val="00854D56"/>
    <w:rsid w:val="00865F3F"/>
    <w:rsid w:val="008A7393"/>
    <w:rsid w:val="008D7136"/>
    <w:rsid w:val="008E273E"/>
    <w:rsid w:val="008E3404"/>
    <w:rsid w:val="00925D78"/>
    <w:rsid w:val="009F2766"/>
    <w:rsid w:val="00B57FD9"/>
    <w:rsid w:val="00B67D34"/>
    <w:rsid w:val="00CE38E8"/>
    <w:rsid w:val="00D46DB6"/>
    <w:rsid w:val="00E23449"/>
    <w:rsid w:val="00E25067"/>
    <w:rsid w:val="00E42A27"/>
    <w:rsid w:val="00E446AF"/>
    <w:rsid w:val="00F1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3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B57FD9"/>
    <w:pPr>
      <w:ind w:left="720"/>
      <w:contextualSpacing/>
    </w:pPr>
  </w:style>
  <w:style w:type="table" w:styleId="TabloKlavuzu">
    <w:name w:val="Table Grid"/>
    <w:basedOn w:val="NormalTablo"/>
    <w:uiPriority w:val="59"/>
    <w:rsid w:val="00531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12E1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087B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7B"/>
    <w:rPr>
      <w:rFonts w:ascii="Lucida Grande" w:hAnsi="Lucida Grande" w:cs="Lucida Grande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8D71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3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57FD9"/>
    <w:pPr>
      <w:ind w:left="720"/>
      <w:contextualSpacing/>
    </w:pPr>
  </w:style>
  <w:style w:type="table" w:styleId="TableGrid">
    <w:name w:val="Table Grid"/>
    <w:basedOn w:val="TableNormal"/>
    <w:uiPriority w:val="59"/>
    <w:rsid w:val="00531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2E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zDAc_m6wRVTdkpoQU14WTgzc1k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0BzDAc_m6wRVTdkpoQU14WTgzc1k/view?usp=sharin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otformpro.com/TOG/genclikarastirmalarifon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nclikarastirmalarifonu@tog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CB8AA5-9F22-41EA-A155-6DF7F78C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user</cp:lastModifiedBy>
  <cp:revision>2</cp:revision>
  <dcterms:created xsi:type="dcterms:W3CDTF">2015-09-08T11:09:00Z</dcterms:created>
  <dcterms:modified xsi:type="dcterms:W3CDTF">2015-09-08T11:09:00Z</dcterms:modified>
</cp:coreProperties>
</file>